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38" w:rsidRDefault="00E92A38" w:rsidP="00E92A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92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о закупочной деятельности Росрыболовства за 2016 год</w:t>
      </w:r>
    </w:p>
    <w:p w:rsidR="00DD329A" w:rsidRPr="00E92A38" w:rsidRDefault="00DD329A" w:rsidP="00E92A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6CD" w:rsidRPr="00F7351F" w:rsidRDefault="003F5109" w:rsidP="00D436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закупок товаров, работ, услуг для государственных нужд </w:t>
      </w:r>
      <w:r w:rsidRPr="00F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Росрыболовством приняты локальные акты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соответствующих требований Федерального </w:t>
      </w:r>
      <w:hyperlink r:id="rId5" w:history="1">
        <w:r w:rsidRPr="00F73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–</w:t>
      </w:r>
      <w:r w:rsidR="00C16BE4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436CD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BE4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4-ФЗ, Закон о контрактной системе), </w:t>
      </w:r>
      <w:r w:rsidRPr="00F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числе: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6CD" w:rsidRPr="00F7351F" w:rsidRDefault="00D436CD" w:rsidP="00D436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735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приказ</w:t>
      </w:r>
      <w:r w:rsidRPr="00F7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3F5109" w:rsidRPr="00F735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от </w:t>
      </w:r>
      <w:r w:rsidR="003F5109" w:rsidRPr="00F7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3F5109" w:rsidRPr="00F735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февраля 201</w:t>
      </w:r>
      <w:r w:rsidR="003F5109" w:rsidRPr="00F7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F5109" w:rsidRPr="00F735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г. № </w:t>
      </w:r>
      <w:r w:rsidR="003F5109" w:rsidRPr="00F7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106</w:t>
      </w:r>
      <w:r w:rsidR="003F5109" w:rsidRPr="00F7351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="003F5109" w:rsidRPr="00F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утверждены П</w:t>
      </w:r>
      <w:proofErr w:type="spellStart"/>
      <w:r w:rsidR="003F5109" w:rsidRPr="00F735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оложение</w:t>
      </w:r>
      <w:proofErr w:type="spellEnd"/>
      <w:r w:rsidR="003F5109" w:rsidRPr="00F735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контрактной службе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постоянный состав работников Росрыболовства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функции контрактной службы</w:t>
      </w:r>
      <w:r w:rsidR="00C14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Start"/>
      <w:r w:rsidR="003F5109" w:rsidRPr="00F735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тверждены</w:t>
      </w:r>
      <w:proofErr w:type="spellEnd"/>
      <w:r w:rsidR="003F5109" w:rsidRPr="00F735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функциональные обязанности работников контракт</w:t>
      </w:r>
      <w:r w:rsidRPr="00F735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ной службы, установлен порядок 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осуществления закупок товаров, работ, услуг для нужд Росрыболовства и </w:t>
      </w:r>
      <w:r w:rsidR="000C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взаимодействия контрактной службы Федерального агентства по рыболовству со структурными подразделениями Росрыболовства при осуществлени</w:t>
      </w:r>
      <w:r w:rsidR="002609AA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закупок</w:t>
      </w:r>
      <w:r w:rsidR="0023344E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Контрактная служба)</w:t>
      </w:r>
      <w:r w:rsidR="0010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;</w:t>
      </w:r>
      <w:r w:rsidR="003F5109" w:rsidRPr="00F7351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D436CD" w:rsidRPr="00F7351F" w:rsidRDefault="00D436CD" w:rsidP="000935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F5109" w:rsidRPr="00F735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приказ</w:t>
      </w:r>
      <w:r w:rsidR="003F5109" w:rsidRPr="00F7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3F5109" w:rsidRPr="00F7351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от 10 февраля 2016 г. № 10</w:t>
      </w:r>
      <w:r w:rsidR="003F5109" w:rsidRPr="00F7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F5109" w:rsidRPr="00F7351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утвержден</w:t>
      </w:r>
      <w:r w:rsidR="003F5109" w:rsidRPr="00F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3F5109" w:rsidRPr="00F7351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порядок работы и состав Единой комисси</w:t>
      </w:r>
      <w:r w:rsidR="003F5109" w:rsidRPr="00F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 определению поставщиков (подрядчиков, исполнителей) по поставке товаров, выполнения работ, оказанию услуг для нужд Федерального агентства по рыболовству</w:t>
      </w:r>
      <w:r w:rsidR="0023344E" w:rsidRPr="00F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344E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Единая комиссия)</w:t>
      </w:r>
      <w:r w:rsidR="0010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F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62605" w:rsidRPr="00F7351F" w:rsidRDefault="00D436CD" w:rsidP="00162605">
      <w:pPr>
        <w:pStyle w:val="HTML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1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0233A" w:rsidRPr="00F7351F">
        <w:rPr>
          <w:rFonts w:ascii="Times New Roman" w:hAnsi="Times New Roman" w:cs="Times New Roman"/>
          <w:b/>
          <w:bCs/>
          <w:sz w:val="28"/>
          <w:szCs w:val="28"/>
        </w:rPr>
        <w:t>приказом от 10 февраля 2016 г. № 105</w:t>
      </w:r>
      <w:r w:rsidR="00A0233A" w:rsidRPr="00F73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5B1" w:rsidRPr="00F7351F">
        <w:rPr>
          <w:rFonts w:ascii="Times New Roman" w:hAnsi="Times New Roman" w:cs="Times New Roman"/>
          <w:sz w:val="28"/>
          <w:szCs w:val="28"/>
        </w:rPr>
        <w:t>утвержден</w:t>
      </w:r>
      <w:r w:rsidR="00C14CF3">
        <w:rPr>
          <w:rFonts w:ascii="Times New Roman" w:hAnsi="Times New Roman" w:cs="Times New Roman"/>
          <w:sz w:val="28"/>
          <w:szCs w:val="28"/>
        </w:rPr>
        <w:t>ы</w:t>
      </w:r>
      <w:r w:rsidR="000935B1" w:rsidRPr="00F7351F">
        <w:rPr>
          <w:rFonts w:ascii="Times New Roman" w:hAnsi="Times New Roman" w:cs="Times New Roman"/>
          <w:sz w:val="28"/>
          <w:szCs w:val="28"/>
        </w:rPr>
        <w:t xml:space="preserve"> Порядок работы и состав Единых комиссий </w:t>
      </w:r>
      <w:r w:rsidR="00A0233A" w:rsidRPr="00F7351F">
        <w:rPr>
          <w:rFonts w:ascii="Times New Roman" w:hAnsi="Times New Roman" w:cs="Times New Roman"/>
          <w:sz w:val="28"/>
          <w:szCs w:val="28"/>
        </w:rPr>
        <w:t>по приемке поставленного товара, выполненной работы</w:t>
      </w:r>
      <w:r w:rsidR="000935B1" w:rsidRPr="00F7351F">
        <w:rPr>
          <w:rFonts w:ascii="Times New Roman" w:hAnsi="Times New Roman" w:cs="Times New Roman"/>
          <w:sz w:val="28"/>
          <w:szCs w:val="28"/>
        </w:rPr>
        <w:t xml:space="preserve"> </w:t>
      </w:r>
      <w:r w:rsidR="00A0233A" w:rsidRPr="00F7351F">
        <w:rPr>
          <w:rFonts w:ascii="Times New Roman" w:hAnsi="Times New Roman" w:cs="Times New Roman"/>
          <w:sz w:val="28"/>
          <w:szCs w:val="28"/>
        </w:rPr>
        <w:t>(ее результатов), оказанной услуги, а также отдельных этапов поставки</w:t>
      </w:r>
      <w:r w:rsidR="000935B1" w:rsidRPr="00F7351F">
        <w:rPr>
          <w:rFonts w:ascii="Times New Roman" w:hAnsi="Times New Roman" w:cs="Times New Roman"/>
          <w:sz w:val="28"/>
          <w:szCs w:val="28"/>
        </w:rPr>
        <w:t xml:space="preserve"> </w:t>
      </w:r>
      <w:r w:rsidR="00A0233A" w:rsidRPr="00F7351F">
        <w:rPr>
          <w:rFonts w:ascii="Times New Roman" w:hAnsi="Times New Roman" w:cs="Times New Roman"/>
          <w:sz w:val="28"/>
          <w:szCs w:val="28"/>
        </w:rPr>
        <w:t>товара, выполнения работы, оказания услуги для обеспечения нужд</w:t>
      </w:r>
      <w:r w:rsidR="000935B1" w:rsidRPr="00F7351F">
        <w:rPr>
          <w:rFonts w:ascii="Times New Roman" w:hAnsi="Times New Roman" w:cs="Times New Roman"/>
          <w:sz w:val="28"/>
          <w:szCs w:val="28"/>
        </w:rPr>
        <w:t xml:space="preserve"> </w:t>
      </w:r>
      <w:r w:rsidR="00A0233A" w:rsidRPr="00F7351F">
        <w:rPr>
          <w:rFonts w:ascii="Times New Roman" w:hAnsi="Times New Roman" w:cs="Times New Roman"/>
          <w:sz w:val="28"/>
          <w:szCs w:val="28"/>
        </w:rPr>
        <w:t>Федерального агентства по рыболовству</w:t>
      </w:r>
      <w:r w:rsidR="00103A4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162605">
        <w:rPr>
          <w:rFonts w:ascii="Times New Roman" w:hAnsi="Times New Roman" w:cs="Times New Roman"/>
          <w:sz w:val="28"/>
          <w:szCs w:val="28"/>
        </w:rPr>
        <w:t xml:space="preserve"> (отменен </w:t>
      </w:r>
      <w:r w:rsidR="00162605" w:rsidRPr="000935B1">
        <w:rPr>
          <w:rFonts w:ascii="Times New Roman" w:hAnsi="Times New Roman" w:cs="Times New Roman"/>
          <w:bCs/>
          <w:sz w:val="28"/>
          <w:szCs w:val="28"/>
        </w:rPr>
        <w:t>приказом от 6 марта 2017 г. № 135</w:t>
      </w:r>
      <w:r w:rsidR="00162605">
        <w:rPr>
          <w:rFonts w:ascii="Times New Roman" w:hAnsi="Times New Roman" w:cs="Times New Roman"/>
          <w:bCs/>
          <w:sz w:val="28"/>
          <w:szCs w:val="28"/>
        </w:rPr>
        <w:t>) (прилагается)</w:t>
      </w:r>
      <w:r w:rsidR="00162605" w:rsidRPr="00F7351F">
        <w:rPr>
          <w:rFonts w:ascii="Times New Roman" w:hAnsi="Times New Roman" w:cs="Times New Roman"/>
          <w:sz w:val="28"/>
          <w:szCs w:val="28"/>
        </w:rPr>
        <w:t>.</w:t>
      </w:r>
    </w:p>
    <w:p w:rsidR="00A0233A" w:rsidRPr="00F7351F" w:rsidRDefault="00A0233A" w:rsidP="000935B1">
      <w:pPr>
        <w:pStyle w:val="HTML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1F">
        <w:rPr>
          <w:rFonts w:ascii="Times New Roman" w:hAnsi="Times New Roman" w:cs="Times New Roman"/>
          <w:sz w:val="28"/>
          <w:szCs w:val="28"/>
        </w:rPr>
        <w:t>.</w:t>
      </w:r>
    </w:p>
    <w:p w:rsidR="0023344E" w:rsidRDefault="0023344E" w:rsidP="00A023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7351F">
        <w:rPr>
          <w:rFonts w:ascii="Times New Roman" w:hAnsi="Times New Roman" w:cs="Times New Roman"/>
          <w:sz w:val="28"/>
          <w:szCs w:val="28"/>
        </w:rPr>
        <w:t xml:space="preserve">Контрактная служба Росрыболовства создана без образования отдельного структурного подразделения, </w:t>
      </w:r>
      <w:r w:rsidR="00C14CF3">
        <w:rPr>
          <w:rFonts w:ascii="Times New Roman" w:hAnsi="Times New Roman" w:cs="Times New Roman"/>
          <w:sz w:val="28"/>
          <w:szCs w:val="28"/>
        </w:rPr>
        <w:t xml:space="preserve">что привело к увеличению </w:t>
      </w:r>
      <w:r w:rsidRPr="00F7351F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 и персональной ответственности сотрудников Росрыболовства, вошедших в число работников контрактной службы Росрыболовства</w:t>
      </w:r>
      <w:r w:rsidR="001869E9">
        <w:rPr>
          <w:rFonts w:ascii="Times New Roman" w:hAnsi="Times New Roman" w:cs="Times New Roman"/>
          <w:sz w:val="28"/>
          <w:szCs w:val="28"/>
        </w:rPr>
        <w:t>,</w:t>
      </w:r>
      <w:r w:rsidRPr="00F7351F">
        <w:rPr>
          <w:rFonts w:ascii="Times New Roman" w:hAnsi="Times New Roman" w:cs="Times New Roman"/>
          <w:sz w:val="28"/>
          <w:szCs w:val="28"/>
        </w:rPr>
        <w:t xml:space="preserve"> членов Единой комиссии Росрыболовства</w:t>
      </w:r>
      <w:r w:rsidR="001869E9">
        <w:rPr>
          <w:rFonts w:ascii="Times New Roman" w:hAnsi="Times New Roman" w:cs="Times New Roman"/>
          <w:sz w:val="28"/>
          <w:szCs w:val="28"/>
        </w:rPr>
        <w:t xml:space="preserve"> и членов Приемочных комиссий без увеличения заработной платы</w:t>
      </w:r>
      <w:r w:rsidRPr="00F7351F">
        <w:rPr>
          <w:rFonts w:ascii="Times New Roman" w:hAnsi="Times New Roman" w:cs="Times New Roman"/>
          <w:sz w:val="28"/>
          <w:szCs w:val="28"/>
        </w:rPr>
        <w:t>.</w:t>
      </w:r>
      <w:r w:rsidRPr="00F7351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6875F6" w:rsidRPr="00F7351F" w:rsidRDefault="006875F6" w:rsidP="00A023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BC0D0C" w:rsidRPr="00F7351F" w:rsidRDefault="00E92A38" w:rsidP="00D4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C7FDF" w:rsidRPr="008E7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риказом Росрыболовства от 12 декабря 2016 г. № 803</w:t>
      </w:r>
      <w:r w:rsidR="00EC7FDF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в Минюсте </w:t>
      </w:r>
      <w:r w:rsidR="0023344E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C1561F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марта </w:t>
      </w:r>
      <w:r w:rsidR="00EC7FDF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г., регистрационный </w:t>
      </w:r>
      <w:r w:rsidR="00687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7FDF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45956) утвержден Регламент осуществления ведомственного контроля в сфере закупок товаров, работ, услуг для обеспечения государственных нужд в отношении </w:t>
      </w:r>
      <w:r w:rsidR="00691693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r w:rsidR="00EC7FDF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Федерального агентства по рыболовству</w:t>
      </w:r>
      <w:r w:rsidR="0068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0A0C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570A0C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проверок утверждается на очередной календарный год не позднее 15 декабря года, предшествующего году, на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орый разрабатывается такой план.</w:t>
      </w:r>
      <w:r w:rsidR="00570A0C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проверок на 2017 год не </w:t>
      </w:r>
      <w:r w:rsidR="00570A0C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ался</w:t>
      </w:r>
      <w:r w:rsidR="00570A0C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A0C" w:rsidRDefault="00570A0C" w:rsidP="00D4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Росрыболовством регулярно осуществляется мониторинг закупочной </w:t>
      </w:r>
      <w:r w:rsidR="00691693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подведомственных организаций Федерального агентства по рыболовству.</w:t>
      </w:r>
    </w:p>
    <w:p w:rsidR="00502A1A" w:rsidRPr="00F7351F" w:rsidRDefault="00502A1A" w:rsidP="00D4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09" w:rsidRPr="00F7351F" w:rsidRDefault="003F5109" w:rsidP="00D4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</w:t>
      </w:r>
      <w:r w:rsidR="00E92A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осуществлено </w:t>
      </w:r>
      <w:r w:rsidR="00C14CF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9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закупочных процедур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ценой на сумму </w:t>
      </w:r>
      <w:r w:rsidR="001B45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3A44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1B45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3A44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="001B4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A44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заключено </w:t>
      </w:r>
      <w:r w:rsidR="009F06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4C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госконтракт</w:t>
      </w:r>
      <w:r w:rsidR="008E7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03A44">
        <w:rPr>
          <w:rFonts w:ascii="Times New Roman" w:eastAsia="Times New Roman" w:hAnsi="Times New Roman" w:cs="Times New Roman"/>
          <w:sz w:val="28"/>
          <w:szCs w:val="28"/>
          <w:lang w:eastAsia="ru-RU"/>
        </w:rPr>
        <w:t>131 162,6</w:t>
      </w:r>
      <w:r w:rsidR="00E9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  <w:r w:rsidR="001B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E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452D" w:rsidRPr="00E80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закупочные процедуры признаны несостоявшимися в виду отсутствия поданных заявок</w:t>
      </w:r>
      <w:r w:rsidR="00E80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B4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109" w:rsidRPr="00F7351F" w:rsidRDefault="003F5109" w:rsidP="00D4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1B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осуществленных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</w:t>
      </w:r>
      <w:r w:rsidR="001B4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5109" w:rsidRPr="00634ED7" w:rsidRDefault="003F5109" w:rsidP="00D436C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Pr="0063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конкурса</w:t>
      </w:r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6 </w:t>
      </w:r>
      <w:proofErr w:type="spellStart"/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госконтракто</w:t>
      </w:r>
      <w:r w:rsidR="001B452D"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1B452D"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23 362,0 тыс. рублей</w:t>
      </w:r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Экономия бюджетных средств</w:t>
      </w:r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открытых конкурсов составила </w:t>
      </w:r>
      <w:r w:rsidRPr="0063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1 499,6 тыс. рублей (или 6 % от суммарной начальной цены)</w:t>
      </w:r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109" w:rsidRPr="00634ED7" w:rsidRDefault="003F5109" w:rsidP="00D436C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Pr="0063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аукциона в электронной форме</w:t>
      </w:r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22 </w:t>
      </w:r>
      <w:proofErr w:type="spellStart"/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госконтракт</w:t>
      </w:r>
      <w:r w:rsidR="001B452D"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B452D"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76 441,5 тыс. рублей</w:t>
      </w:r>
      <w:r w:rsidRPr="0063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Экономия бюджетных средств</w:t>
      </w:r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 w:rsidR="00DD329A" w:rsidRPr="0063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открытых аукционов в электронной форме</w:t>
      </w:r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составила </w:t>
      </w:r>
      <w:r w:rsidRPr="0063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21 953,1 тыс. рублей (или 22,3 % от суммарной начальной цены</w:t>
      </w:r>
      <w:r w:rsidR="001B452D" w:rsidRPr="0063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109" w:rsidRPr="00634ED7" w:rsidRDefault="003F5109" w:rsidP="00D436C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Pr="0063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 котировок</w:t>
      </w:r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7 </w:t>
      </w:r>
      <w:proofErr w:type="spellStart"/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госконтрактов</w:t>
      </w:r>
      <w:proofErr w:type="spellEnd"/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1 745,9 тыс. рублей </w:t>
      </w:r>
      <w:r w:rsidRPr="0063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Экономия бюджетных средств</w:t>
      </w:r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 w:rsidR="00DD329A"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запросов </w:t>
      </w:r>
      <w:proofErr w:type="spellStart"/>
      <w:r w:rsidR="00DD329A"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котирок</w:t>
      </w:r>
      <w:proofErr w:type="spellEnd"/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Pr="0063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825,6 тыс. рублей (или 32,1 % от суммарной начальной цены)</w:t>
      </w:r>
      <w:r w:rsidRP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109" w:rsidRPr="001B452D" w:rsidRDefault="003F5109" w:rsidP="00D436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количество участников</w:t>
      </w:r>
      <w:r w:rsidR="00C1561F" w:rsidRPr="001B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осуществления закупок </w:t>
      </w:r>
      <w:r w:rsidRPr="001B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конкурентными способами в 2016 году – 5.</w:t>
      </w:r>
    </w:p>
    <w:p w:rsidR="003F5109" w:rsidRDefault="0036188C" w:rsidP="00D436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</w:t>
      </w:r>
      <w:r w:rsidR="000C577B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proofErr w:type="spellStart"/>
      <w:r w:rsidR="000C577B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госконтрактов</w:t>
      </w:r>
      <w:proofErr w:type="spellEnd"/>
      <w:r w:rsidR="000C577B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единственным исполнителем </w:t>
      </w:r>
      <w:r w:rsidR="000C577B">
        <w:rPr>
          <w:rFonts w:ascii="Times New Roman" w:eastAsia="Times New Roman" w:hAnsi="Times New Roman" w:cs="Times New Roman"/>
          <w:sz w:val="28"/>
          <w:szCs w:val="28"/>
          <w:lang w:eastAsia="ru-RU"/>
        </w:rPr>
        <w:t>(естественные монополи</w:t>
      </w:r>
      <w:r w:rsidR="00940A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29 613,2</w:t>
      </w:r>
      <w:r w:rsidR="003F5109" w:rsidRPr="00F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</w:t>
      </w:r>
      <w:r w:rsidR="001B4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(МОЭК, </w:t>
      </w:r>
      <w:proofErr w:type="spellStart"/>
      <w:r w:rsidR="001B4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Мосэнергосбыт</w:t>
      </w:r>
      <w:proofErr w:type="spellEnd"/>
      <w:r w:rsidR="001B4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Мосводоканал, МГТС, Почта России и </w:t>
      </w:r>
      <w:r w:rsidR="000C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т.д.</w:t>
      </w:r>
      <w:r w:rsidR="001B4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634ED7" w:rsidRPr="00502A1A" w:rsidRDefault="00502A1A" w:rsidP="00D436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634ED7" w:rsidRPr="0050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кономия бюджетных средств 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4ED7" w:rsidRPr="0050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едении</w:t>
      </w:r>
      <w:r w:rsidR="00634ED7" w:rsidRPr="0050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упочных проце</w:t>
      </w:r>
      <w:r w:rsidR="00634ED7" w:rsidRPr="0050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дур составила 24 278,3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тыс. рублей </w:t>
      </w:r>
      <w:r w:rsidR="00634ED7" w:rsidRPr="0050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</w:t>
      </w:r>
      <w:r w:rsidR="00C14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15,6</w:t>
      </w:r>
      <w:r w:rsidR="00634ED7" w:rsidRPr="0050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</w:t>
      </w:r>
      <w:r w:rsidR="00C14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4CF3" w:rsidRPr="000C57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(экономия бюджетных средств по результатам </w:t>
      </w:r>
      <w:r w:rsidR="00C14CF3" w:rsidRPr="000C577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конкурентных процедур</w:t>
      </w:r>
      <w:r w:rsidR="00C14CF3" w:rsidRPr="000C57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составила около 20 %)</w:t>
      </w:r>
      <w:r w:rsidR="00186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02A1A" w:rsidRPr="00F7351F" w:rsidRDefault="00502A1A" w:rsidP="00D436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5109" w:rsidRDefault="003F5109" w:rsidP="00D4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75 закупок малого объема (до 100,0 тыс. рублей) на общую сумму 4 476,1 тыс. рублей или</w:t>
      </w:r>
      <w:r w:rsidR="006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3,4</w:t>
      </w:r>
      <w:r w:rsidR="00C1561F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</w:t>
      </w:r>
      <w:r w:rsidR="00B661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осуществленных в 2016 год</w:t>
      </w:r>
      <w:r w:rsidR="00B661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ED7" w:rsidRPr="00687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(максимально допустимое значение </w:t>
      </w:r>
      <w:r w:rsidR="006875F6" w:rsidRPr="00687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закупок малого объема 5 %)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35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103A44" w:rsidRPr="00F7351F" w:rsidRDefault="00103A44" w:rsidP="00D4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F5109" w:rsidRPr="00F7351F" w:rsidRDefault="003F5109" w:rsidP="00D4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требований части 1.1 статьи 30 Закона о контрактной системе объем закупок</w:t>
      </w:r>
      <w:r w:rsidR="0068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осуществляемый </w:t>
      </w:r>
      <w:r w:rsidR="006875F6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субъектов малого предпринимательства и социально ориентированных некоммерческих организаций </w:t>
      </w:r>
      <w:r w:rsidR="0068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составлять не менее 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15 % от совокупного годово</w:t>
      </w:r>
      <w:r w:rsidR="000C57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закупок, без учета закупок, осущест</w:t>
      </w:r>
      <w:r w:rsidR="00B6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вленных </w:t>
      </w:r>
      <w:r w:rsidR="0036188C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единственного поставщика</w:t>
      </w:r>
      <w:r w:rsidR="00B66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109" w:rsidRPr="00940AAB" w:rsidRDefault="00B66174" w:rsidP="00F73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Правилам, утвержденным постановлением Правительства Российской Федерации от 17 марта 2015 г. № 238 «О порядке подготовки отчета об объеме закупок у субъектов малого предпринимательства и 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</w:t>
      </w:r>
      <w:r w:rsidR="00C94144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проектного финансирования» и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94144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проверки</w:t>
      </w:r>
      <w:r w:rsidR="000C57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организации, составил </w:t>
      </w:r>
      <w:r w:rsidR="003F5109" w:rsidRPr="00F7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12 353,70 тыс. рублей или 17,20 %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совокупного годового объема закупок.</w:t>
      </w:r>
      <w:r w:rsidR="0068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F6" w:rsidRPr="0094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размещен </w:t>
      </w:r>
      <w:r w:rsidR="000C577B" w:rsidRPr="0094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единой информационной системе в сфере закупок </w:t>
      </w:r>
      <w:r w:rsidR="006875F6" w:rsidRPr="0094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установленные сроки.</w:t>
      </w:r>
    </w:p>
    <w:p w:rsidR="00502A1A" w:rsidRPr="00F7351F" w:rsidRDefault="00502A1A" w:rsidP="00F73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3A" w:rsidRDefault="00B66174" w:rsidP="00B6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F5109" w:rsidRPr="00F7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лан-график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заказов на поставку товаров, выполнение работ, оказание услуг для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ужд Росрыболовства в 2016 году 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официальном </w:t>
      </w:r>
      <w:r w:rsidR="003F5109" w:rsidRPr="00F7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портале в установ</w:t>
      </w:r>
      <w:r w:rsidR="00FC2667" w:rsidRPr="00F7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ленные сроки 14 января 2016 г.</w:t>
      </w:r>
      <w:r w:rsidR="00A0233A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 года утвержденный План-график закупок Росрыболовства </w:t>
      </w:r>
      <w:r w:rsidR="003F5109" w:rsidRPr="00F7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корректировался 35 раз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5109" w:rsidRPr="00F7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</w:t>
      </w:r>
      <w:r w:rsidR="002609AA" w:rsidRPr="00F7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3F5109" w:rsidRPr="00F7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установленных сроков при внесении изменений План-график закупок не </w:t>
      </w:r>
      <w:r w:rsidR="00687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допущено</w:t>
      </w:r>
      <w:r w:rsidR="003F5109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2A1A" w:rsidRPr="00F7351F" w:rsidRDefault="00502A1A" w:rsidP="00B6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6BA" w:rsidRPr="00F7351F" w:rsidRDefault="006875F6" w:rsidP="00D4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11276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11276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центрального аппарата Росрыболовства 2016 год</w:t>
      </w:r>
      <w:r w:rsidR="00502A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1276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502A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B11276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контролирующими органами:</w:t>
      </w:r>
    </w:p>
    <w:p w:rsidR="00B11276" w:rsidRPr="00F7351F" w:rsidRDefault="00B11276" w:rsidP="00D436C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палата Российской Федерации (дважды);</w:t>
      </w:r>
    </w:p>
    <w:p w:rsidR="00B11276" w:rsidRPr="00F7351F" w:rsidRDefault="00B11276" w:rsidP="00D436C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казначейством;</w:t>
      </w:r>
    </w:p>
    <w:p w:rsidR="00B11276" w:rsidRPr="00F7351F" w:rsidRDefault="00B11276" w:rsidP="00D436C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антимонопольной службой;</w:t>
      </w:r>
    </w:p>
    <w:p w:rsidR="00B11276" w:rsidRPr="00F7351F" w:rsidRDefault="00B11276" w:rsidP="00D436C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Генеральной прокуратурой Российской Федерации.</w:t>
      </w:r>
    </w:p>
    <w:p w:rsidR="00502A1A" w:rsidRDefault="002609AA" w:rsidP="00D4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проведенных проверок был</w:t>
      </w:r>
      <w:r w:rsidR="00B661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замечания к </w:t>
      </w:r>
      <w:r w:rsidR="0050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некоторым </w:t>
      </w:r>
      <w:r w:rsidR="00B66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обоснованиям начальных (максимальных) цен закупок, включ</w:t>
      </w:r>
      <w:r w:rsidR="00502A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</w:t>
      </w:r>
      <w:r w:rsidR="00B66174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План-график закупок. Замечания своевременно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устранены. </w:t>
      </w:r>
    </w:p>
    <w:p w:rsidR="002609AA" w:rsidRPr="00F7351F" w:rsidRDefault="001B1179" w:rsidP="00D436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качества работы Контрактной службы, сотрудники Росрыболовства, включенные в её состав</w:t>
      </w:r>
      <w:r w:rsidR="002609AA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</w:t>
      </w:r>
      <w:r w:rsidR="002609AA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программе повышения квалификации государственных гражданских служащих «Управление государственными и муниципальными закупками»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B1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</w:t>
      </w:r>
      <w:r w:rsidR="0050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академии</w:t>
      </w:r>
      <w:r w:rsidRPr="001B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хозяйства и государственной службы при Президенте Российской Федерации</w:t>
      </w:r>
      <w:r w:rsidR="0030618F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1D8" w:rsidRDefault="001B1179" w:rsidP="00A023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618F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="0030618F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57A12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веденных проверок</w:t>
      </w:r>
      <w:r w:rsidR="00502A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7A12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устранения замечаний,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="00B57A12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30618F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существующих нормативно </w:t>
      </w:r>
      <w:r w:rsidR="00B57A12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</w:t>
      </w:r>
      <w:r w:rsidR="0030618F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18F" w:rsidRPr="00F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принятых </w:t>
      </w:r>
      <w:r w:rsidR="00B57A12" w:rsidRPr="00F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</w:t>
      </w:r>
      <w:r w:rsidR="0030618F"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соответствующих требований Закона о контрактной системе.</w:t>
      </w:r>
    </w:p>
    <w:p w:rsidR="00F7351F" w:rsidRDefault="00F7351F" w:rsidP="00A023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года на действия Росрыболовства как организатора </w:t>
      </w:r>
      <w:r w:rsidR="001B1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закупок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подана в ФАС России </w:t>
      </w:r>
      <w:r w:rsidRPr="00F7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жалоба от участников закупок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 результатам рассмотрения ФАС России </w:t>
      </w:r>
      <w:r w:rsidRPr="00F7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признана необоснованной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Росрыболовства как организатора </w:t>
      </w:r>
      <w:r w:rsidR="001B1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закупок</w:t>
      </w:r>
      <w:r w:rsidRPr="00F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подана в ФАС России </w:t>
      </w:r>
      <w:r w:rsidRPr="00F7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7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жалоб от участников закупок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из них 7 были признаны обоснованными, 3 необоснованными и 1 частично обоснована.</w:t>
      </w:r>
    </w:p>
    <w:p w:rsidR="004F5D9E" w:rsidRPr="004F5D9E" w:rsidRDefault="004F5D9E" w:rsidP="00A023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D9E" w:rsidRPr="004F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08AD"/>
    <w:multiLevelType w:val="hybridMultilevel"/>
    <w:tmpl w:val="0A828434"/>
    <w:lvl w:ilvl="0" w:tplc="D3D87FC6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4570F1"/>
    <w:multiLevelType w:val="hybridMultilevel"/>
    <w:tmpl w:val="5F885EB2"/>
    <w:lvl w:ilvl="0" w:tplc="9A32E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41777"/>
    <w:multiLevelType w:val="hybridMultilevel"/>
    <w:tmpl w:val="A998A812"/>
    <w:lvl w:ilvl="0" w:tplc="D3D87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09"/>
    <w:rsid w:val="00007809"/>
    <w:rsid w:val="000935B1"/>
    <w:rsid w:val="000C577B"/>
    <w:rsid w:val="00103A44"/>
    <w:rsid w:val="00162605"/>
    <w:rsid w:val="001869E9"/>
    <w:rsid w:val="001B1179"/>
    <w:rsid w:val="001B41D8"/>
    <w:rsid w:val="001B452D"/>
    <w:rsid w:val="0023344E"/>
    <w:rsid w:val="002609AA"/>
    <w:rsid w:val="002D32FF"/>
    <w:rsid w:val="0030618F"/>
    <w:rsid w:val="0036188C"/>
    <w:rsid w:val="003E78EF"/>
    <w:rsid w:val="003F5109"/>
    <w:rsid w:val="004506BA"/>
    <w:rsid w:val="004F5D9E"/>
    <w:rsid w:val="00502A1A"/>
    <w:rsid w:val="00570A0C"/>
    <w:rsid w:val="00576475"/>
    <w:rsid w:val="00634ED7"/>
    <w:rsid w:val="006875F6"/>
    <w:rsid w:val="00691693"/>
    <w:rsid w:val="00700BE1"/>
    <w:rsid w:val="008E7947"/>
    <w:rsid w:val="00940AAB"/>
    <w:rsid w:val="0096223F"/>
    <w:rsid w:val="009F0679"/>
    <w:rsid w:val="00A0233A"/>
    <w:rsid w:val="00B11276"/>
    <w:rsid w:val="00B57A12"/>
    <w:rsid w:val="00B66174"/>
    <w:rsid w:val="00B937EF"/>
    <w:rsid w:val="00BC0D0C"/>
    <w:rsid w:val="00C14CF3"/>
    <w:rsid w:val="00C1561F"/>
    <w:rsid w:val="00C16BE4"/>
    <w:rsid w:val="00C94144"/>
    <w:rsid w:val="00D43006"/>
    <w:rsid w:val="00D436CD"/>
    <w:rsid w:val="00DD329A"/>
    <w:rsid w:val="00E80E45"/>
    <w:rsid w:val="00E92A38"/>
    <w:rsid w:val="00EB6F95"/>
    <w:rsid w:val="00EC7FDF"/>
    <w:rsid w:val="00F7351F"/>
    <w:rsid w:val="00FC2667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F2EA6-2AC4-4084-949E-7F690B4D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1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510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43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36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11A8E6EB9B2CDB882EA4D302B333E40FC3C235355FB6B62C37021DD117CEF18429022EB7D936F6I8R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Каминова Ольга Славьевна</dc:creator>
  <cp:lastModifiedBy>Солохин Михаил Викторович</cp:lastModifiedBy>
  <cp:revision>2</cp:revision>
  <cp:lastPrinted>2017-10-13T12:34:00Z</cp:lastPrinted>
  <dcterms:created xsi:type="dcterms:W3CDTF">2018-02-05T08:19:00Z</dcterms:created>
  <dcterms:modified xsi:type="dcterms:W3CDTF">2018-02-05T08:19:00Z</dcterms:modified>
</cp:coreProperties>
</file>